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115" w:rsidRDefault="001C5115">
      <w:pPr>
        <w:rPr>
          <w:i/>
        </w:rPr>
      </w:pPr>
      <w:r>
        <w:rPr>
          <w:i/>
        </w:rPr>
        <w:t>Submitted electronically to:</w:t>
      </w:r>
      <w:r>
        <w:rPr>
          <w:i/>
        </w:rPr>
        <w:tab/>
      </w:r>
      <w:hyperlink r:id="rId5" w:history="1">
        <w:r w:rsidR="00C01DE6" w:rsidRPr="004B7D19">
          <w:rPr>
            <w:rStyle w:val="Hyperlink"/>
            <w:i/>
          </w:rPr>
          <w:t>http://www.regulations.gov</w:t>
        </w:r>
      </w:hyperlink>
    </w:p>
    <w:p w:rsidR="001C5115" w:rsidRDefault="001C5115">
      <w:pPr>
        <w:rPr>
          <w:i/>
        </w:rPr>
      </w:pPr>
    </w:p>
    <w:p w:rsidR="00C557D9" w:rsidRDefault="00C557D9">
      <w:r>
        <w:t>April 29, 2011</w:t>
      </w:r>
    </w:p>
    <w:p w:rsidR="00C557D9" w:rsidRDefault="00C557D9"/>
    <w:p w:rsidR="001C5115" w:rsidRDefault="001C5115">
      <w:r>
        <w:t>Division of Dockets Management (HFA-305)</w:t>
      </w:r>
    </w:p>
    <w:p w:rsidR="001C5115" w:rsidRDefault="001C5115">
      <w:r>
        <w:t>Food and Drug Administration</w:t>
      </w:r>
    </w:p>
    <w:p w:rsidR="001C5115" w:rsidRDefault="001C5115">
      <w:r>
        <w:t>5630 Fishers Lane</w:t>
      </w:r>
    </w:p>
    <w:p w:rsidR="001C5115" w:rsidRDefault="001C5115">
      <w:r>
        <w:t>Room 1061</w:t>
      </w:r>
    </w:p>
    <w:p w:rsidR="001C5115" w:rsidRDefault="001C5115">
      <w:r>
        <w:t>Rockville, MD, 20852:</w:t>
      </w:r>
    </w:p>
    <w:p w:rsidR="001C5115" w:rsidRDefault="001C5115"/>
    <w:p w:rsidR="001C5115" w:rsidRDefault="001C5115">
      <w:r>
        <w:t>RE:</w:t>
      </w:r>
      <w:r>
        <w:tab/>
        <w:t>Docket FDA-2011-N-0143, Foreign Supplier Verification Program</w:t>
      </w:r>
    </w:p>
    <w:p w:rsidR="001C5115" w:rsidRDefault="001C5115">
      <w:r>
        <w:tab/>
        <w:t>Docket FDA-2011-N-0144, Voluntary Qualified Importer Program</w:t>
      </w:r>
    </w:p>
    <w:p w:rsidR="001C5115" w:rsidRDefault="001C5115">
      <w:r>
        <w:tab/>
        <w:t xml:space="preserve">Docket FDA-2011-N-0145, Import Certifications for Food </w:t>
      </w:r>
    </w:p>
    <w:p w:rsidR="001C5115" w:rsidRDefault="001C5115">
      <w:r>
        <w:tab/>
        <w:t>Docket FDA-2011-N-0146, Accreditation for Third Party Auditors</w:t>
      </w:r>
    </w:p>
    <w:p w:rsidR="001C5115" w:rsidRDefault="001C5115"/>
    <w:p w:rsidR="005721AC" w:rsidRDefault="001C5115" w:rsidP="001C5115">
      <w:pPr>
        <w:jc w:val="both"/>
      </w:pPr>
      <w:r>
        <w:t>These comments ar</w:t>
      </w:r>
      <w:r w:rsidR="00B12AAC">
        <w:t>e submitted by Federal Express</w:t>
      </w:r>
      <w:r>
        <w:t xml:space="preserve"> in response to the FDA Federal Register notice of March 14, 2011, regarding request for comments in connection with certain provisions of the Food Safety Modernization Act (FSMA) affecting importers and imported food items. Federal Express (“FedEx”) </w:t>
      </w:r>
      <w:r>
        <w:rPr>
          <w:rFonts w:eastAsia="Calibri"/>
        </w:rPr>
        <w:t xml:space="preserve">is part of the global network of FedEx companies, and is the world’s largest express transportation company. FedEx provides fast and reliable delivery to more than 220 countries and territories, utilizing a global network of integrated services to speed delivery of time sensitive shipments, usually within one to two days.  FedEx operates 6 U.S.  locations </w:t>
      </w:r>
      <w:r w:rsidR="005721AC">
        <w:t>for the declaration and clearance of express import shipment</w:t>
      </w:r>
      <w:r w:rsidR="00B12AAC">
        <w:t xml:space="preserve">s; </w:t>
      </w:r>
      <w:r>
        <w:rPr>
          <w:rFonts w:eastAsia="Calibri"/>
        </w:rPr>
        <w:t xml:space="preserve">the import volume at these 6 locations represents a significant portion of the total clearances processed by </w:t>
      </w:r>
      <w:r w:rsidR="005721AC">
        <w:t xml:space="preserve">the Food and Drug Administration. </w:t>
      </w:r>
    </w:p>
    <w:p w:rsidR="005721AC" w:rsidRDefault="005721AC" w:rsidP="001C5115">
      <w:pPr>
        <w:jc w:val="both"/>
      </w:pPr>
    </w:p>
    <w:p w:rsidR="00A322EE" w:rsidRDefault="005721AC" w:rsidP="001C5115">
      <w:pPr>
        <w:jc w:val="both"/>
      </w:pPr>
      <w:r>
        <w:t xml:space="preserve">FedEx customers utilize our international express services for the benefit of </w:t>
      </w:r>
      <w:r w:rsidR="00860D85">
        <w:t>speed</w:t>
      </w:r>
      <w:r>
        <w:t>; that is, shipments imported to the U.S. via express services are time sensitive for multiple reasons, including high value and urgent need. Declarations to and processing by regulatory agencies administering U.S. import provisions must be completed quickly in order to realize the full benefit of the e</w:t>
      </w:r>
      <w:r w:rsidR="00860D85">
        <w:t>xpensive express transportation</w:t>
      </w:r>
      <w:r>
        <w:t xml:space="preserve"> services. FDA must consider two critical considerations as the agency goes about developing and implementing regulations for the provisions of FSMA, those being </w:t>
      </w:r>
      <w:r w:rsidRPr="00860D85">
        <w:rPr>
          <w:u w:val="single"/>
        </w:rPr>
        <w:t>transparency</w:t>
      </w:r>
      <w:r>
        <w:t xml:space="preserve"> and </w:t>
      </w:r>
      <w:r w:rsidRPr="00860D85">
        <w:rPr>
          <w:u w:val="single"/>
        </w:rPr>
        <w:t>advance notice</w:t>
      </w:r>
      <w:r>
        <w:t>. Importers, foreign suppliers, carriers, and many other members of the import supply chain will be directly affected by the extensive new regulations required by FSMA, and therefore must have transparency to fully understand the requirements</w:t>
      </w:r>
      <w:r w:rsidR="00A322EE">
        <w:t xml:space="preserve">. These same parties must also have advance notice in order to plan for any changes to operational processes and determine agreed upon responsibility for what party will provide any new documents or data required for import to the FDA. </w:t>
      </w:r>
    </w:p>
    <w:p w:rsidR="00A322EE" w:rsidRDefault="00A322EE" w:rsidP="001C5115">
      <w:pPr>
        <w:jc w:val="both"/>
      </w:pPr>
    </w:p>
    <w:p w:rsidR="001C5115" w:rsidRPr="00A322EE" w:rsidRDefault="001C5115" w:rsidP="001C5115">
      <w:pPr>
        <w:jc w:val="both"/>
        <w:rPr>
          <w:rFonts w:eastAsia="Calibri"/>
          <w:b/>
          <w:u w:val="single"/>
        </w:rPr>
      </w:pPr>
      <w:r>
        <w:rPr>
          <w:rFonts w:eastAsia="Calibri"/>
        </w:rPr>
        <w:t xml:space="preserve"> </w:t>
      </w:r>
      <w:r w:rsidR="00A322EE" w:rsidRPr="00A322EE">
        <w:rPr>
          <w:b/>
          <w:u w:val="single"/>
        </w:rPr>
        <w:t>Docket FDA-2011-N-0143, Foreign Supplier Verification Program</w:t>
      </w:r>
      <w:r w:rsidR="00EF7ECD">
        <w:rPr>
          <w:b/>
          <w:u w:val="single"/>
        </w:rPr>
        <w:t xml:space="preserve"> (Section 301)</w:t>
      </w:r>
    </w:p>
    <w:p w:rsidR="006E43E7" w:rsidRPr="006E43E7" w:rsidRDefault="00EF7ECD" w:rsidP="0078252F">
      <w:pPr>
        <w:numPr>
          <w:ilvl w:val="0"/>
          <w:numId w:val="1"/>
        </w:numPr>
        <w:spacing w:before="100" w:beforeAutospacing="1" w:after="100" w:afterAutospacing="1"/>
      </w:pPr>
      <w:r>
        <w:rPr>
          <w:rFonts w:eastAsia="Times New Roman"/>
          <w:b/>
          <w:bCs/>
        </w:rPr>
        <w:t>F</w:t>
      </w:r>
      <w:r w:rsidR="006E43E7" w:rsidRPr="006E43E7">
        <w:rPr>
          <w:rFonts w:eastAsia="Times New Roman"/>
          <w:b/>
          <w:bCs/>
        </w:rPr>
        <w:t>oreign supplier verification</w:t>
      </w:r>
      <w:r w:rsidR="0078252F" w:rsidRPr="006E43E7">
        <w:rPr>
          <w:rFonts w:eastAsia="Times New Roman"/>
        </w:rPr>
        <w:t xml:space="preserve">:  For the first time, importers have an explicit responsibility to verify that their foreign suppliers have adequate preventive controls in place to ensure that the food they produce is safe. </w:t>
      </w:r>
    </w:p>
    <w:p w:rsidR="00244154" w:rsidRDefault="0078252F" w:rsidP="006E43E7">
      <w:pPr>
        <w:spacing w:before="100" w:beforeAutospacing="1" w:after="100" w:afterAutospacing="1"/>
        <w:ind w:left="720"/>
      </w:pPr>
      <w:r w:rsidRPr="006E43E7">
        <w:rPr>
          <w:b/>
          <w:bCs/>
        </w:rPr>
        <w:lastRenderedPageBreak/>
        <w:t xml:space="preserve">Recommendation: </w:t>
      </w:r>
      <w:r>
        <w:t xml:space="preserve">Implementing regulations should be clear about reference to </w:t>
      </w:r>
      <w:r w:rsidR="002F320B">
        <w:t>“</w:t>
      </w:r>
      <w:r>
        <w:t>importer</w:t>
      </w:r>
      <w:r w:rsidR="002F320B">
        <w:t xml:space="preserve">” rather than </w:t>
      </w:r>
      <w:r>
        <w:t xml:space="preserve">“importer of record”. </w:t>
      </w:r>
      <w:r w:rsidRPr="006E43E7">
        <w:rPr>
          <w:color w:val="000000"/>
        </w:rPr>
        <w:t>R</w:t>
      </w:r>
      <w:r>
        <w:t xml:space="preserve">esponsibility </w:t>
      </w:r>
      <w:r w:rsidR="002F320B">
        <w:t xml:space="preserve">for compliance with the provisions of FSMA </w:t>
      </w:r>
      <w:r>
        <w:t xml:space="preserve">must lie with the true importer. </w:t>
      </w:r>
      <w:r w:rsidR="002F320B">
        <w:t xml:space="preserve">“Importer of Record” is a technical term applicable only to the U.S. Customs and Border Protection (CBP) entry procedures and forms. </w:t>
      </w:r>
      <w:r w:rsidR="00F84414">
        <w:t>In conventional clearances, the true importer will also be the “importer of record” on the CBP entry; however, in other situations, such as clearances in the express environment, t</w:t>
      </w:r>
      <w:r w:rsidR="00676AAB">
        <w:t>he “importer of record” on the CBP entry is commonly a party other than the actual importer</w:t>
      </w:r>
      <w:r w:rsidR="00F84414">
        <w:t xml:space="preserve">. An </w:t>
      </w:r>
      <w:r w:rsidR="00676AAB">
        <w:t>express consignment operator (ECO)</w:t>
      </w:r>
      <w:r w:rsidR="00F84414">
        <w:t xml:space="preserve"> is authorized to make clearance arrangements and/or </w:t>
      </w:r>
      <w:r w:rsidR="00676AAB">
        <w:t xml:space="preserve">act as “importer of record” due to legal status as a “nominal consignee”. </w:t>
      </w:r>
      <w:r w:rsidR="00F84414">
        <w:t xml:space="preserve">In such situations, </w:t>
      </w:r>
      <w:r w:rsidR="00244154">
        <w:t xml:space="preserve">an ECO, or any party making entry under nominal consignee provisions, would not be an appropriate party responsible for compliance with FDA regulations promulgated under authority of FSMA or any other provision. </w:t>
      </w:r>
      <w:r w:rsidR="00F84414">
        <w:t xml:space="preserve">CBP regulatory </w:t>
      </w:r>
      <w:r w:rsidR="00676AAB">
        <w:t xml:space="preserve">provisions </w:t>
      </w:r>
      <w:r w:rsidR="00F84414">
        <w:t xml:space="preserve">specific to the </w:t>
      </w:r>
      <w:r w:rsidR="00676AAB">
        <w:t>CBP entry process should not be used for purpose</w:t>
      </w:r>
      <w:r w:rsidR="00F84414">
        <w:t>s</w:t>
      </w:r>
      <w:r w:rsidR="00676AAB">
        <w:t xml:space="preserve"> of developing and implementing regulations required by FSMA. </w:t>
      </w:r>
      <w:r w:rsidR="00244154">
        <w:t xml:space="preserve">FDA must focus regulatory provisions on the true importer, i.e. the party which causes a shipment to enter the U.S. from a foreign source. </w:t>
      </w:r>
    </w:p>
    <w:p w:rsidR="0078252F" w:rsidRDefault="00676AAB" w:rsidP="006E43E7">
      <w:pPr>
        <w:spacing w:before="100" w:beforeAutospacing="1" w:after="100" w:afterAutospacing="1"/>
        <w:ind w:left="720"/>
      </w:pPr>
      <w:r>
        <w:t xml:space="preserve">The current </w:t>
      </w:r>
      <w:r w:rsidR="0078252F">
        <w:t>FDA regulations have different and sometimes vague definitions of the term “importer”, e.g. 21 CFR 803.3, 806.2, 821.3. In plain language, an importer should be defined as a person or legal entity that causes a shipment to enter the U.S.</w:t>
      </w:r>
      <w:r>
        <w:t xml:space="preserve"> from a foreign location, usually by purchase or agreement to purchase from a foreign seller. </w:t>
      </w:r>
      <w:r w:rsidR="0078252F">
        <w:t xml:space="preserve">The CBP regulations on transaction value </w:t>
      </w:r>
      <w:r>
        <w:t>provide useful guidance on this concept</w:t>
      </w:r>
      <w:r w:rsidR="0078252F">
        <w:t>, in that CBP looks to wh</w:t>
      </w:r>
      <w:r>
        <w:t>en a sale occurs across borders</w:t>
      </w:r>
      <w:r w:rsidR="0078252F">
        <w:t xml:space="preserve"> that causes a shipment to enter the commerce of the U.S. Considering the primary concerns of FDA and technical requirements of FSMA, FDA should properly look to the actual owner or purchaser that causes an item to enter the U.S. as a result of a financial or commercial transaction, rather than a party that may be “importer of record” on the Customs entry. The actual importer is the party best and properly positioned for compliance with FSMA provisions. </w:t>
      </w:r>
    </w:p>
    <w:p w:rsidR="001C5115" w:rsidRDefault="001C5115"/>
    <w:p w:rsidR="00A322EE" w:rsidRPr="00A322EE" w:rsidRDefault="00A322EE" w:rsidP="00A322EE">
      <w:pPr>
        <w:rPr>
          <w:b/>
          <w:u w:val="single"/>
        </w:rPr>
      </w:pPr>
      <w:r w:rsidRPr="00A322EE">
        <w:rPr>
          <w:b/>
          <w:u w:val="single"/>
        </w:rPr>
        <w:t>Docket FDA-2011-N-0144, Voluntary Qualified Importer Program</w:t>
      </w:r>
      <w:r w:rsidR="00EF7ECD">
        <w:rPr>
          <w:b/>
          <w:u w:val="single"/>
        </w:rPr>
        <w:t xml:space="preserve"> (Section 302)</w:t>
      </w:r>
    </w:p>
    <w:p w:rsidR="0048400B" w:rsidRDefault="0048400B" w:rsidP="0048400B">
      <w:pPr>
        <w:numPr>
          <w:ilvl w:val="0"/>
          <w:numId w:val="1"/>
        </w:numPr>
        <w:spacing w:before="100" w:beforeAutospacing="1" w:after="100" w:afterAutospacing="1"/>
        <w:rPr>
          <w:rFonts w:eastAsia="Times New Roman"/>
        </w:rPr>
      </w:pPr>
      <w:r>
        <w:rPr>
          <w:rFonts w:eastAsia="Times New Roman"/>
          <w:b/>
          <w:bCs/>
        </w:rPr>
        <w:t>Voluntary qualified importer program</w:t>
      </w:r>
      <w:r>
        <w:rPr>
          <w:rFonts w:eastAsia="Times New Roman"/>
        </w:rPr>
        <w:t>:  FDA must establish a voluntary program for importers that provides for expedited review and entry of foods from participating importe</w:t>
      </w:r>
      <w:r w:rsidR="006E43E7">
        <w:rPr>
          <w:rFonts w:eastAsia="Times New Roman"/>
        </w:rPr>
        <w:t>rs.  Eligibility is limited to</w:t>
      </w:r>
      <w:r>
        <w:rPr>
          <w:rFonts w:eastAsia="Times New Roman"/>
        </w:rPr>
        <w:t xml:space="preserve"> importers offering food from certified facilities</w:t>
      </w:r>
      <w:r w:rsidR="006E43E7">
        <w:rPr>
          <w:rFonts w:eastAsia="Times New Roman"/>
        </w:rPr>
        <w:t xml:space="preserve">, the known safety risks of the food, compliance history of the importer and the foreign supplier, and several other factors. </w:t>
      </w:r>
      <w:r>
        <w:rPr>
          <w:rFonts w:eastAsia="Times New Roman"/>
        </w:rPr>
        <w:t xml:space="preserve"> </w:t>
      </w:r>
    </w:p>
    <w:p w:rsidR="00400F4F" w:rsidRDefault="0048400B" w:rsidP="0048400B">
      <w:pPr>
        <w:spacing w:before="100" w:beforeAutospacing="1" w:after="100" w:afterAutospacing="1"/>
        <w:ind w:left="720"/>
      </w:pPr>
      <w:r>
        <w:rPr>
          <w:b/>
          <w:bCs/>
        </w:rPr>
        <w:t xml:space="preserve">Recommendation: </w:t>
      </w:r>
      <w:r>
        <w:t> </w:t>
      </w:r>
      <w:r w:rsidR="006E43E7">
        <w:t xml:space="preserve">There are many areas for comment in this section. FedEx notes that Section 302 of FSMA includes a separate definition </w:t>
      </w:r>
      <w:r w:rsidR="00451EA3">
        <w:t xml:space="preserve">for importer </w:t>
      </w:r>
      <w:r w:rsidR="006E43E7">
        <w:t xml:space="preserve">from that stated in Section </w:t>
      </w:r>
      <w:r w:rsidR="006D21DD">
        <w:t>301;</w:t>
      </w:r>
      <w:r w:rsidR="006E43E7">
        <w:t xml:space="preserve"> however, FedEx also believes these definitions can be reconciled in the FDA regulations to place the compliance responsibility on the </w:t>
      </w:r>
      <w:r w:rsidR="00451EA3">
        <w:t xml:space="preserve">appropriate party, i.e. the </w:t>
      </w:r>
      <w:r w:rsidR="006E43E7">
        <w:t xml:space="preserve">actual importer. While Section 301 offers the option of the “...United States owner and or consignee ….. at the time of entry of such article into the United States….”, </w:t>
      </w:r>
      <w:r w:rsidR="00400F4F">
        <w:t xml:space="preserve">Section 302 defines importer as “…the person that brings food, or causes food to be brought, from a foreign country into ….. the United States.” FedEx recommends that FDA take the </w:t>
      </w:r>
      <w:r w:rsidR="00400F4F">
        <w:lastRenderedPageBreak/>
        <w:t xml:space="preserve">approach that the true importer is the party which </w:t>
      </w:r>
      <w:r w:rsidR="00400F4F">
        <w:rPr>
          <w:u w:val="single"/>
        </w:rPr>
        <w:t xml:space="preserve">causes </w:t>
      </w:r>
      <w:r w:rsidR="00400F4F">
        <w:t xml:space="preserve">such a shipment to enter the U.S as a result of a commercial transaction, i.e. with a financial interest in the food items. Service providers such as FedEx should not be considered an importer for these provisions of FSMA. </w:t>
      </w:r>
    </w:p>
    <w:p w:rsidR="00B22601" w:rsidRDefault="00B22601" w:rsidP="0048400B">
      <w:pPr>
        <w:spacing w:before="100" w:beforeAutospacing="1" w:after="100" w:afterAutospacing="1"/>
        <w:ind w:left="720"/>
      </w:pPr>
      <w:r>
        <w:t xml:space="preserve">Section 302 also uses several terms which require definition, especially </w:t>
      </w:r>
      <w:r w:rsidR="00451EA3">
        <w:t xml:space="preserve">regarding </w:t>
      </w:r>
      <w:r>
        <w:t xml:space="preserve">the “risk” of the imported food. In developing regulations for the new VQIP program, FedEx strongly urges FDA to expound on this term and the proposed criteria for program eligibility. For example, what level of risk would warrant exclusion from the program? Would certain food items be prohibited based on risk of that food? What period of time will compliance history be considered and relevant? </w:t>
      </w:r>
      <w:r w:rsidR="00612232">
        <w:t xml:space="preserve">What actions can suppliers and importers take to reduce risks of intentional adulteration?  </w:t>
      </w:r>
    </w:p>
    <w:p w:rsidR="0048400B" w:rsidRDefault="00612232" w:rsidP="0048400B">
      <w:pPr>
        <w:spacing w:before="100" w:beforeAutospacing="1" w:after="100" w:afterAutospacing="1"/>
        <w:ind w:left="720"/>
      </w:pPr>
      <w:r>
        <w:t xml:space="preserve">FedEx believes the </w:t>
      </w:r>
      <w:r w:rsidR="0048400B">
        <w:t xml:space="preserve">VQIP </w:t>
      </w:r>
      <w:r>
        <w:t xml:space="preserve">program holds great benefit for improving the speed of release of imported food items, for improving compliance with existing and new FDA regulations, and for better utilization of FDA resources. For these reasons, VQIP </w:t>
      </w:r>
      <w:r w:rsidR="0048400B">
        <w:t xml:space="preserve">should be fully defined and implemented as quickly as possible. </w:t>
      </w:r>
      <w:r w:rsidR="00400F4F">
        <w:t xml:space="preserve">FedEx recommends that FDA look closely into how this program might </w:t>
      </w:r>
      <w:r w:rsidR="0048400B">
        <w:t>incorporate security issues in addition to the FDA food safety issues</w:t>
      </w:r>
      <w:r w:rsidR="00400F4F">
        <w:t xml:space="preserve">; ideally, the VQIP program would be synchronized with the CBP Customs – Trade Partnership Against Terrorism (CTPAT) program, and similar programs of other agencies as they may be developed. Agency-specific programs may provide specific benefit to compliance and admissibility of the respective agency, but programs from multiple agencies can easily lead to duplication of effort and inefficient use of precious resources. </w:t>
      </w:r>
      <w:r w:rsidR="0048400B">
        <w:t xml:space="preserve"> </w:t>
      </w:r>
      <w:r w:rsidR="00400F4F">
        <w:t xml:space="preserve">FedEx also would ask FDA to explain to the trade community how the VQIP program would relate to other agency security or admissibility programs, including the </w:t>
      </w:r>
      <w:r w:rsidR="0048400B">
        <w:t>Certified Importer Program</w:t>
      </w:r>
      <w:r w:rsidR="00400F4F">
        <w:t xml:space="preserve"> (CIP), now under development with FDA participation, and intended to provide </w:t>
      </w:r>
      <w:r w:rsidR="00BE512B">
        <w:t xml:space="preserve">trusted partner benefits to multiple regulatory agencies. </w:t>
      </w:r>
      <w:r w:rsidR="0048400B">
        <w:t xml:space="preserve"> </w:t>
      </w:r>
    </w:p>
    <w:p w:rsidR="00A322EE" w:rsidRDefault="00A322EE" w:rsidP="00A322EE">
      <w:pPr>
        <w:rPr>
          <w:b/>
          <w:u w:val="single"/>
        </w:rPr>
      </w:pPr>
    </w:p>
    <w:p w:rsidR="00A322EE" w:rsidRPr="00A322EE" w:rsidRDefault="00A322EE" w:rsidP="00A322EE">
      <w:pPr>
        <w:rPr>
          <w:b/>
          <w:u w:val="single"/>
        </w:rPr>
      </w:pPr>
      <w:r w:rsidRPr="00A322EE">
        <w:rPr>
          <w:b/>
          <w:u w:val="single"/>
        </w:rPr>
        <w:t>Docket FDA-2011-N-0145, Import Certifications for Fo</w:t>
      </w:r>
      <w:r w:rsidR="00EF7ECD">
        <w:rPr>
          <w:b/>
          <w:u w:val="single"/>
        </w:rPr>
        <w:t>od (Section 303)</w:t>
      </w:r>
    </w:p>
    <w:p w:rsidR="0048400B" w:rsidRDefault="0048400B" w:rsidP="0048400B">
      <w:pPr>
        <w:numPr>
          <w:ilvl w:val="0"/>
          <w:numId w:val="1"/>
        </w:numPr>
        <w:spacing w:before="100" w:beforeAutospacing="1" w:after="100" w:afterAutospacing="1"/>
        <w:rPr>
          <w:rFonts w:eastAsia="Times New Roman"/>
        </w:rPr>
      </w:pPr>
      <w:r>
        <w:rPr>
          <w:rFonts w:eastAsia="Times New Roman"/>
          <w:b/>
          <w:bCs/>
        </w:rPr>
        <w:t xml:space="preserve">Certification </w:t>
      </w:r>
      <w:r w:rsidR="00EA15D4">
        <w:rPr>
          <w:rFonts w:eastAsia="Times New Roman"/>
          <w:b/>
          <w:bCs/>
        </w:rPr>
        <w:t>concerning imported foods</w:t>
      </w:r>
      <w:r>
        <w:rPr>
          <w:rFonts w:eastAsia="Times New Roman"/>
        </w:rPr>
        <w:t xml:space="preserve">:  </w:t>
      </w:r>
      <w:r w:rsidR="00EA15D4">
        <w:rPr>
          <w:rFonts w:eastAsia="Times New Roman"/>
        </w:rPr>
        <w:t xml:space="preserve">FSMA creates new </w:t>
      </w:r>
      <w:r>
        <w:rPr>
          <w:rFonts w:eastAsia="Times New Roman"/>
        </w:rPr>
        <w:t xml:space="preserve">authority to require that </w:t>
      </w:r>
      <w:r w:rsidR="00EA15D4">
        <w:rPr>
          <w:rFonts w:eastAsia="Times New Roman"/>
        </w:rPr>
        <w:t xml:space="preserve">certain </w:t>
      </w:r>
      <w:r>
        <w:rPr>
          <w:rFonts w:eastAsia="Times New Roman"/>
        </w:rPr>
        <w:t xml:space="preserve">imported foods be accompanied by a </w:t>
      </w:r>
      <w:r w:rsidR="00EA15D4">
        <w:rPr>
          <w:rFonts w:eastAsia="Times New Roman"/>
        </w:rPr>
        <w:t>“…</w:t>
      </w:r>
      <w:r>
        <w:rPr>
          <w:rFonts w:eastAsia="Times New Roman"/>
        </w:rPr>
        <w:t>certification</w:t>
      </w:r>
      <w:r w:rsidR="00EA15D4">
        <w:rPr>
          <w:rFonts w:eastAsia="Times New Roman"/>
        </w:rPr>
        <w:t xml:space="preserve">, or … </w:t>
      </w:r>
      <w:r>
        <w:rPr>
          <w:rFonts w:eastAsia="Times New Roman"/>
        </w:rPr>
        <w:t>other assurance</w:t>
      </w:r>
      <w:r w:rsidR="00EA15D4">
        <w:rPr>
          <w:rFonts w:eastAsia="Times New Roman"/>
        </w:rPr>
        <w:t>s…”</w:t>
      </w:r>
      <w:r>
        <w:rPr>
          <w:rFonts w:eastAsia="Times New Roman"/>
        </w:rPr>
        <w:t xml:space="preserve"> of compliance as a condition of entry into the U.S.  </w:t>
      </w:r>
    </w:p>
    <w:p w:rsidR="002F0E2E" w:rsidRDefault="0048400B" w:rsidP="0048400B">
      <w:pPr>
        <w:spacing w:before="100" w:beforeAutospacing="1" w:after="100" w:afterAutospacing="1"/>
        <w:ind w:left="720"/>
        <w:rPr>
          <w:bCs/>
        </w:rPr>
      </w:pPr>
      <w:r>
        <w:rPr>
          <w:b/>
          <w:bCs/>
        </w:rPr>
        <w:t xml:space="preserve">Recommendation: </w:t>
      </w:r>
      <w:r w:rsidR="00EA15D4">
        <w:rPr>
          <w:bCs/>
        </w:rPr>
        <w:t xml:space="preserve">Section 303 offers multiple </w:t>
      </w:r>
      <w:r w:rsidR="00C557D9">
        <w:rPr>
          <w:bCs/>
        </w:rPr>
        <w:t xml:space="preserve">options </w:t>
      </w:r>
      <w:r w:rsidR="00EA15D4">
        <w:rPr>
          <w:bCs/>
        </w:rPr>
        <w:t xml:space="preserve">on the form of “certificate” or “assurance” that may be required for imported food items, and also states multiple factors to be considered in determining in the requirement for certification. </w:t>
      </w:r>
    </w:p>
    <w:p w:rsidR="00564504" w:rsidRDefault="00564504" w:rsidP="00564504">
      <w:pPr>
        <w:pStyle w:val="ListParagraph"/>
        <w:numPr>
          <w:ilvl w:val="0"/>
          <w:numId w:val="5"/>
        </w:numPr>
        <w:spacing w:before="100" w:beforeAutospacing="1" w:after="100" w:afterAutospacing="1"/>
      </w:pPr>
      <w:r>
        <w:t xml:space="preserve">FDA must first establish in what instances a certification is required, which is a fundamental driver of determining the number of Third Party Auditors (Section 307).  </w:t>
      </w:r>
    </w:p>
    <w:p w:rsidR="00564504" w:rsidRDefault="00564504" w:rsidP="00564504">
      <w:pPr>
        <w:pStyle w:val="ListParagraph"/>
        <w:numPr>
          <w:ilvl w:val="0"/>
          <w:numId w:val="5"/>
        </w:numPr>
        <w:spacing w:before="100" w:beforeAutospacing="1" w:after="100" w:afterAutospacing="1"/>
      </w:pPr>
      <w:r>
        <w:t xml:space="preserve">FedEx recommends that FDA first identify the largest volume imported food items and origin countries; for these items, FDA should then determine which foods and origin countries will require certification. </w:t>
      </w:r>
    </w:p>
    <w:p w:rsidR="002F0E2E" w:rsidRDefault="0048400B" w:rsidP="002F0E2E">
      <w:pPr>
        <w:pStyle w:val="ListParagraph"/>
        <w:numPr>
          <w:ilvl w:val="0"/>
          <w:numId w:val="5"/>
        </w:numPr>
        <w:spacing w:before="100" w:beforeAutospacing="1" w:after="100" w:afterAutospacing="1"/>
      </w:pPr>
      <w:r>
        <w:lastRenderedPageBreak/>
        <w:t xml:space="preserve">FDA must </w:t>
      </w:r>
      <w:r w:rsidR="00EA15D4">
        <w:t xml:space="preserve">define both the criteria for determining the requirement for certification and the form of certification for this program, and make this information available to the trade community </w:t>
      </w:r>
      <w:r>
        <w:t>as quickly as possible.  </w:t>
      </w:r>
    </w:p>
    <w:p w:rsidR="002F0E2E" w:rsidRDefault="0048400B" w:rsidP="002F0E2E">
      <w:pPr>
        <w:pStyle w:val="ListParagraph"/>
        <w:numPr>
          <w:ilvl w:val="0"/>
          <w:numId w:val="5"/>
        </w:numPr>
        <w:spacing w:before="100" w:beforeAutospacing="1" w:after="100" w:afterAutospacing="1"/>
      </w:pPr>
      <w:r>
        <w:t xml:space="preserve">Definitions of affected food items must be clear, and suppliers and importers must be given sufficient advance notice to arrange for certification. </w:t>
      </w:r>
    </w:p>
    <w:p w:rsidR="002F0E2E" w:rsidRDefault="0048400B" w:rsidP="002F0E2E">
      <w:pPr>
        <w:pStyle w:val="ListParagraph"/>
        <w:numPr>
          <w:ilvl w:val="0"/>
          <w:numId w:val="5"/>
        </w:numPr>
        <w:spacing w:before="100" w:beforeAutospacing="1" w:after="100" w:afterAutospacing="1"/>
      </w:pPr>
      <w:r>
        <w:t>FDA must also advise what form</w:t>
      </w:r>
      <w:r w:rsidR="002F0E2E">
        <w:t xml:space="preserve"> the certification will take. Electronic submission is preferred over hard copy certification. </w:t>
      </w:r>
    </w:p>
    <w:p w:rsidR="002F0E2E" w:rsidRDefault="002F0E2E" w:rsidP="002F0E2E">
      <w:pPr>
        <w:pStyle w:val="ListParagraph"/>
        <w:numPr>
          <w:ilvl w:val="0"/>
          <w:numId w:val="5"/>
        </w:numPr>
        <w:spacing w:before="100" w:beforeAutospacing="1" w:after="100" w:afterAutospacing="1"/>
      </w:pPr>
      <w:r>
        <w:t xml:space="preserve">Certifying entities </w:t>
      </w:r>
      <w:r w:rsidR="0048400B">
        <w:t>must be publicly identified, i.e. acceptable sources for FDA.</w:t>
      </w:r>
    </w:p>
    <w:p w:rsidR="0048400B" w:rsidRDefault="002F0E2E" w:rsidP="002F0E2E">
      <w:pPr>
        <w:pStyle w:val="ListParagraph"/>
        <w:numPr>
          <w:ilvl w:val="0"/>
          <w:numId w:val="5"/>
        </w:numPr>
        <w:spacing w:before="100" w:beforeAutospacing="1" w:after="100" w:afterAutospacing="1"/>
      </w:pPr>
      <w:r>
        <w:t>Section 303 provides for certification or “other assurance” regarding compliance with applicable requirements. FDA should define w</w:t>
      </w:r>
      <w:r w:rsidR="0048400B">
        <w:t>hat “other assurance” of compliance</w:t>
      </w:r>
      <w:r>
        <w:t xml:space="preserve"> might be acceptable for entry. </w:t>
      </w:r>
    </w:p>
    <w:p w:rsidR="00A322EE" w:rsidRDefault="00A322EE" w:rsidP="00A322EE">
      <w:pPr>
        <w:rPr>
          <w:b/>
          <w:u w:val="single"/>
        </w:rPr>
      </w:pPr>
    </w:p>
    <w:p w:rsidR="00A322EE" w:rsidRPr="00A322EE" w:rsidRDefault="00A322EE" w:rsidP="00A322EE">
      <w:pPr>
        <w:rPr>
          <w:b/>
          <w:u w:val="single"/>
        </w:rPr>
      </w:pPr>
      <w:r w:rsidRPr="00A322EE">
        <w:rPr>
          <w:b/>
          <w:u w:val="single"/>
        </w:rPr>
        <w:t>Docket FDA-2011-N-0146, Accreditation for Third Party Auditors</w:t>
      </w:r>
      <w:r w:rsidR="00EF7ECD">
        <w:rPr>
          <w:b/>
          <w:u w:val="single"/>
        </w:rPr>
        <w:t xml:space="preserve"> (Section 307)</w:t>
      </w:r>
    </w:p>
    <w:p w:rsidR="0048400B" w:rsidRDefault="0048400B" w:rsidP="0048400B">
      <w:pPr>
        <w:numPr>
          <w:ilvl w:val="0"/>
          <w:numId w:val="1"/>
        </w:numPr>
        <w:spacing w:before="100" w:beforeAutospacing="1" w:after="100" w:afterAutospacing="1"/>
        <w:rPr>
          <w:rFonts w:eastAsia="Times New Roman"/>
        </w:rPr>
      </w:pPr>
      <w:r>
        <w:rPr>
          <w:rFonts w:eastAsia="Times New Roman"/>
          <w:b/>
          <w:bCs/>
        </w:rPr>
        <w:t>Third Party Certification</w:t>
      </w:r>
      <w:r>
        <w:rPr>
          <w:rFonts w:eastAsia="Times New Roman"/>
        </w:rPr>
        <w:t xml:space="preserve">:  The FSMA establishes a program </w:t>
      </w:r>
      <w:r w:rsidR="002F0E2E">
        <w:rPr>
          <w:rFonts w:eastAsia="Times New Roman"/>
          <w:color w:val="000000"/>
        </w:rPr>
        <w:t>under</w:t>
      </w:r>
      <w:r>
        <w:rPr>
          <w:rFonts w:eastAsia="Times New Roman"/>
          <w:color w:val="000000"/>
        </w:rPr>
        <w:t xml:space="preserve"> </w:t>
      </w:r>
      <w:r>
        <w:rPr>
          <w:rFonts w:eastAsia="Times New Roman"/>
        </w:rPr>
        <w:t xml:space="preserve">which qualified third parties can certify that foreign food facilities comply with U.S. food safety standards.  This certification may be used to facilitate the entry of imports. </w:t>
      </w:r>
    </w:p>
    <w:p w:rsidR="00564504" w:rsidRDefault="0048400B" w:rsidP="0048400B">
      <w:pPr>
        <w:spacing w:before="100" w:beforeAutospacing="1" w:after="100" w:afterAutospacing="1"/>
        <w:ind w:left="720"/>
        <w:rPr>
          <w:b/>
          <w:bCs/>
        </w:rPr>
      </w:pPr>
      <w:r>
        <w:rPr>
          <w:b/>
          <w:bCs/>
        </w:rPr>
        <w:t>Recommendation</w:t>
      </w:r>
      <w:r w:rsidR="00564504">
        <w:rPr>
          <w:b/>
          <w:bCs/>
        </w:rPr>
        <w:t>s</w:t>
      </w:r>
      <w:r>
        <w:rPr>
          <w:b/>
          <w:bCs/>
        </w:rPr>
        <w:t xml:space="preserve">: </w:t>
      </w:r>
    </w:p>
    <w:p w:rsidR="00FA7673" w:rsidRDefault="00FA7673" w:rsidP="00C557D9">
      <w:pPr>
        <w:pStyle w:val="ListParagraph"/>
        <w:numPr>
          <w:ilvl w:val="0"/>
          <w:numId w:val="7"/>
        </w:numPr>
        <w:spacing w:before="100" w:beforeAutospacing="1" w:after="100" w:afterAutospacing="1"/>
      </w:pPr>
      <w:r>
        <w:t>FSMA requires creation of a publicly available registry to identify accreditation bodies, i.e. Third Party Auditors (TPA). This registry should be created and posted quickly in order to provide full transparency to all affected parties</w:t>
      </w:r>
      <w:r w:rsidR="007B3EFC">
        <w:t xml:space="preserve">. FedEx recommends the registry be posted </w:t>
      </w:r>
      <w:r>
        <w:t xml:space="preserve">on the FDA website, sorted by origin country. </w:t>
      </w:r>
    </w:p>
    <w:p w:rsidR="00FA7673" w:rsidRDefault="00FA7673" w:rsidP="00C557D9">
      <w:pPr>
        <w:pStyle w:val="ListParagraph"/>
        <w:numPr>
          <w:ilvl w:val="0"/>
          <w:numId w:val="7"/>
        </w:numPr>
        <w:spacing w:before="100" w:beforeAutospacing="1" w:after="100" w:afterAutospacing="1"/>
      </w:pPr>
      <w:r>
        <w:t xml:space="preserve">FDA must provide as much advance notice as possible to importers and suppliers regarding any changes to the list of TPAs. Foreign sellers and manufacturers must be able to rely on this list as being parties approved by FDA to provide required certification. When a TPA may be deleted from the list, an effective date must be provided, so that certifications provided prior to that date would continue to be valid, and new certification from a different TPA would not be required. </w:t>
      </w:r>
    </w:p>
    <w:p w:rsidR="007B3EFC" w:rsidRDefault="0048400B" w:rsidP="00C557D9">
      <w:pPr>
        <w:pStyle w:val="ListParagraph"/>
        <w:numPr>
          <w:ilvl w:val="0"/>
          <w:numId w:val="7"/>
        </w:numPr>
        <w:spacing w:before="100" w:beforeAutospacing="1" w:after="100" w:afterAutospacing="1"/>
      </w:pPr>
      <w:r>
        <w:t xml:space="preserve">FDA should identify quickly how this information will be </w:t>
      </w:r>
      <w:r w:rsidR="00FA7673">
        <w:t xml:space="preserve">submitted to </w:t>
      </w:r>
      <w:r>
        <w:t xml:space="preserve">the FDA and validated for individual import shipments, and advise all concerned parties </w:t>
      </w:r>
      <w:r w:rsidR="00FA7673">
        <w:t xml:space="preserve">as soon as possible </w:t>
      </w:r>
      <w:r>
        <w:t xml:space="preserve">for full transparency of requirements. </w:t>
      </w:r>
    </w:p>
    <w:p w:rsidR="0048400B" w:rsidRPr="007B3EFC" w:rsidRDefault="0048400B" w:rsidP="007B3EFC">
      <w:pPr>
        <w:spacing w:before="100" w:beforeAutospacing="1" w:after="100" w:afterAutospacing="1"/>
        <w:rPr>
          <w:u w:val="single"/>
        </w:rPr>
      </w:pPr>
      <w:r w:rsidRPr="007B3EFC">
        <w:rPr>
          <w:b/>
          <w:bCs/>
          <w:u w:val="single"/>
        </w:rPr>
        <w:t>Other Areas of Concern:</w:t>
      </w:r>
    </w:p>
    <w:p w:rsidR="0048400B" w:rsidRDefault="006826DB" w:rsidP="006826DB">
      <w:pPr>
        <w:pStyle w:val="ListParagraph"/>
        <w:numPr>
          <w:ilvl w:val="0"/>
          <w:numId w:val="4"/>
        </w:numPr>
        <w:spacing w:before="100" w:beforeAutospacing="1" w:after="100" w:afterAutospacing="1"/>
      </w:pPr>
      <w:r>
        <w:rPr>
          <w:b/>
        </w:rPr>
        <w:t xml:space="preserve">International Express Courier Fee: </w:t>
      </w:r>
      <w:r w:rsidR="0096579C">
        <w:t xml:space="preserve">FedEx </w:t>
      </w:r>
      <w:r w:rsidR="00135577">
        <w:t xml:space="preserve">notes </w:t>
      </w:r>
      <w:r w:rsidR="0096579C">
        <w:t xml:space="preserve">that FDA has inserted a line item in their proposed budget for federal fiscal year 2012 (FY2012) </w:t>
      </w:r>
      <w:r w:rsidR="0048400B">
        <w:t xml:space="preserve">a </w:t>
      </w:r>
      <w:r w:rsidR="0096579C">
        <w:t xml:space="preserve">new </w:t>
      </w:r>
      <w:r w:rsidR="0048400B">
        <w:t xml:space="preserve">“International Express Courier” fee, </w:t>
      </w:r>
      <w:r w:rsidR="0096579C">
        <w:t xml:space="preserve">totaling more than $5 million. The budget documentation currently available provides little information on this proposed </w:t>
      </w:r>
      <w:r w:rsidR="006D21DD">
        <w:t>fee;</w:t>
      </w:r>
      <w:r>
        <w:t xml:space="preserve"> however, the document does note that new legislative authority would be required for implementation of this fee. FedEx submits that a proposed fee for which legislative authority does not exist should not be used to construct the proposed budget of a federal regulatory agency, and further, that </w:t>
      </w:r>
      <w:r w:rsidR="0048400B">
        <w:t xml:space="preserve">such a fee cannot be justified </w:t>
      </w:r>
      <w:r w:rsidR="00135577">
        <w:t xml:space="preserve">as applicable </w:t>
      </w:r>
      <w:r w:rsidR="0048400B">
        <w:t>for only one mode of transportation. FDA</w:t>
      </w:r>
      <w:r>
        <w:t xml:space="preserve"> authority and responsibility requires the </w:t>
      </w:r>
      <w:r w:rsidR="00135577">
        <w:t xml:space="preserve">supervision </w:t>
      </w:r>
      <w:r w:rsidR="0048400B">
        <w:t xml:space="preserve">of imported food items </w:t>
      </w:r>
      <w:r>
        <w:t xml:space="preserve">regardless of </w:t>
      </w:r>
      <w:r>
        <w:lastRenderedPageBreak/>
        <w:t xml:space="preserve">mode of transportation, and a proposal for a new fee such as this without supporting authority or supporting information is not appropriate. Consequently, this line item </w:t>
      </w:r>
      <w:r w:rsidR="00135577">
        <w:t xml:space="preserve">should </w:t>
      </w:r>
      <w:r>
        <w:t xml:space="preserve">be removed from the proposed budget for FY2012 and not considered further, at least until FDA can provide details on what, if any, specific and dedicated services may be provided in return for this fee. </w:t>
      </w:r>
      <w:r w:rsidR="0048400B">
        <w:t xml:space="preserve"> </w:t>
      </w:r>
    </w:p>
    <w:p w:rsidR="006826DB" w:rsidRDefault="006826DB" w:rsidP="006826DB">
      <w:pPr>
        <w:pStyle w:val="ListParagraph"/>
        <w:numPr>
          <w:ilvl w:val="0"/>
          <w:numId w:val="4"/>
        </w:numPr>
        <w:spacing w:before="100" w:beforeAutospacing="1" w:after="100" w:afterAutospacing="1"/>
      </w:pPr>
      <w:r>
        <w:rPr>
          <w:b/>
        </w:rPr>
        <w:t>Import Process Improvements:</w:t>
      </w:r>
      <w:r>
        <w:t xml:space="preserve"> FedEx also recommends several processing improvements which would improve FDA’s efficiency of resource utilization, and enhance FDA’s ability to implement the expansive new provisions required by the FSMA. </w:t>
      </w:r>
      <w:r w:rsidR="00662352">
        <w:t xml:space="preserve">These recommendations all pertain to alignment of FDA resources with express carrier hours of pre-sort and sort operation, thus reducing delays for FDA regulated shipments. </w:t>
      </w:r>
    </w:p>
    <w:p w:rsidR="006826DB" w:rsidRDefault="006826DB" w:rsidP="006826DB">
      <w:pPr>
        <w:pStyle w:val="ListParagraph"/>
        <w:numPr>
          <w:ilvl w:val="1"/>
          <w:numId w:val="4"/>
        </w:numPr>
        <w:spacing w:before="100" w:beforeAutospacing="1" w:after="100" w:afterAutospacing="1"/>
      </w:pPr>
      <w:r w:rsidRPr="006826DB">
        <w:rPr>
          <w:b/>
        </w:rPr>
        <w:t>Timely On-Screen Reviews</w:t>
      </w:r>
      <w:r>
        <w:t xml:space="preserve"> to allow same day processing and release. </w:t>
      </w:r>
    </w:p>
    <w:p w:rsidR="006826DB" w:rsidRDefault="006826DB" w:rsidP="006826DB">
      <w:pPr>
        <w:pStyle w:val="ListParagraph"/>
        <w:numPr>
          <w:ilvl w:val="1"/>
          <w:numId w:val="4"/>
        </w:numPr>
        <w:spacing w:before="100" w:beforeAutospacing="1" w:after="100" w:afterAutospacing="1"/>
      </w:pPr>
      <w:r w:rsidRPr="00132719">
        <w:rPr>
          <w:b/>
        </w:rPr>
        <w:t>Timely Document Reviews</w:t>
      </w:r>
      <w:r>
        <w:t xml:space="preserve"> to allow same processing and release. </w:t>
      </w:r>
    </w:p>
    <w:p w:rsidR="00662352" w:rsidRPr="00132719" w:rsidRDefault="006826DB" w:rsidP="006826DB">
      <w:pPr>
        <w:pStyle w:val="ListParagraph"/>
        <w:numPr>
          <w:ilvl w:val="1"/>
          <w:numId w:val="4"/>
        </w:numPr>
        <w:spacing w:before="100" w:beforeAutospacing="1" w:after="100" w:afterAutospacing="1"/>
        <w:rPr>
          <w:b/>
        </w:rPr>
      </w:pPr>
      <w:r w:rsidRPr="00132719">
        <w:rPr>
          <w:b/>
        </w:rPr>
        <w:t>Timely</w:t>
      </w:r>
      <w:r w:rsidR="00662352" w:rsidRPr="00132719">
        <w:rPr>
          <w:b/>
        </w:rPr>
        <w:t xml:space="preserve"> Shipment Examination/Sampling</w:t>
      </w:r>
    </w:p>
    <w:p w:rsidR="006826DB" w:rsidRDefault="00662352" w:rsidP="006826DB">
      <w:pPr>
        <w:pStyle w:val="ListParagraph"/>
        <w:numPr>
          <w:ilvl w:val="1"/>
          <w:numId w:val="4"/>
        </w:numPr>
        <w:spacing w:before="100" w:beforeAutospacing="1" w:after="100" w:afterAutospacing="1"/>
      </w:pPr>
      <w:r w:rsidRPr="00132719">
        <w:rPr>
          <w:b/>
        </w:rPr>
        <w:t>Timely Release Decision</w:t>
      </w:r>
      <w:r>
        <w:t xml:space="preserve"> for detained shipments</w:t>
      </w:r>
    </w:p>
    <w:p w:rsidR="00662352" w:rsidRDefault="00662352" w:rsidP="006826DB">
      <w:pPr>
        <w:pStyle w:val="ListParagraph"/>
        <w:numPr>
          <w:ilvl w:val="1"/>
          <w:numId w:val="4"/>
        </w:numPr>
        <w:spacing w:before="100" w:beforeAutospacing="1" w:after="100" w:afterAutospacing="1"/>
      </w:pPr>
      <w:r w:rsidRPr="00132719">
        <w:rPr>
          <w:b/>
        </w:rPr>
        <w:t>FDA work schedules aligned</w:t>
      </w:r>
      <w:r>
        <w:t xml:space="preserve"> with express carrier sort operations</w:t>
      </w:r>
    </w:p>
    <w:p w:rsidR="00662352" w:rsidRDefault="00662352" w:rsidP="006826DB">
      <w:pPr>
        <w:pStyle w:val="ListParagraph"/>
        <w:numPr>
          <w:ilvl w:val="1"/>
          <w:numId w:val="4"/>
        </w:numPr>
        <w:spacing w:before="100" w:beforeAutospacing="1" w:after="100" w:afterAutospacing="1"/>
      </w:pPr>
      <w:r w:rsidRPr="00132719">
        <w:rPr>
          <w:b/>
        </w:rPr>
        <w:t>FDA service availability</w:t>
      </w:r>
      <w:r>
        <w:t xml:space="preserve"> on weekends and holidays when CBP provides services</w:t>
      </w:r>
    </w:p>
    <w:p w:rsidR="009D785B" w:rsidRDefault="00662352" w:rsidP="003F5FD9">
      <w:pPr>
        <w:spacing w:before="100" w:beforeAutospacing="1" w:after="100" w:afterAutospacing="1"/>
        <w:jc w:val="both"/>
      </w:pPr>
      <w:r>
        <w:t>FedEx observes that FDA has a daunting task in implementation of the numerous and extensive FSMA provisions, which include creation of new definitions, new risk standards, facility inspections both foreign and domestic, drafting of proposed regulations and implementing of final regulations, many of these on very short mandated time frames. FedEx has participated in several public meetings and forums already conducted by FDA regarding the FSMA, and FedEx appreciates the opportunity to work with FDA on this project. FedEx would also like to commend the FDA for other pre-existing activities to improve efficiency</w:t>
      </w:r>
      <w:r w:rsidR="009D785B">
        <w:t xml:space="preserve"> and respond to trade concerns. FedEx is confident that the </w:t>
      </w:r>
      <w:r w:rsidR="00B6221E">
        <w:t>import trade community handling FDA regulated commodities share</w:t>
      </w:r>
      <w:r w:rsidR="009D785B">
        <w:t>s</w:t>
      </w:r>
      <w:r w:rsidR="00B6221E">
        <w:t xml:space="preserve"> the FDA’s concern about compliance and public safety,</w:t>
      </w:r>
      <w:r w:rsidR="009D785B">
        <w:t xml:space="preserve"> and we look forward to continuing working with FDA on implementation of new FSMA provisions. </w:t>
      </w:r>
    </w:p>
    <w:p w:rsidR="009D785B" w:rsidRDefault="009D785B" w:rsidP="00662352">
      <w:pPr>
        <w:spacing w:before="100" w:beforeAutospacing="1" w:after="100" w:afterAutospacing="1"/>
      </w:pPr>
      <w:r>
        <w:t>Please let me know if we can provide additional information on any of these issues.</w:t>
      </w:r>
    </w:p>
    <w:p w:rsidR="009D785B" w:rsidRDefault="009D785B" w:rsidP="00662352">
      <w:pPr>
        <w:spacing w:before="100" w:beforeAutospacing="1" w:after="100" w:afterAutospacing="1"/>
      </w:pPr>
      <w:r>
        <w:t xml:space="preserve">Sincerely, </w:t>
      </w:r>
    </w:p>
    <w:p w:rsidR="009D785B" w:rsidRDefault="009D785B" w:rsidP="00662352">
      <w:pPr>
        <w:spacing w:before="100" w:beforeAutospacing="1" w:after="100" w:afterAutospacing="1"/>
      </w:pPr>
    </w:p>
    <w:p w:rsidR="009D785B" w:rsidRDefault="009D785B" w:rsidP="003F5FD9">
      <w:r>
        <w:t>Andrew K. Shiles</w:t>
      </w:r>
    </w:p>
    <w:p w:rsidR="009D785B" w:rsidRDefault="009D785B" w:rsidP="003F5FD9">
      <w:r>
        <w:t>Manager, Regulatory Compliance and Clearance</w:t>
      </w:r>
    </w:p>
    <w:p w:rsidR="009D785B" w:rsidRDefault="009D785B" w:rsidP="003F5FD9">
      <w:r>
        <w:t>3650 Hacks Cross Road, Building E-3</w:t>
      </w:r>
    </w:p>
    <w:p w:rsidR="00662352" w:rsidRDefault="009D785B" w:rsidP="003F5FD9">
      <w:r>
        <w:t xml:space="preserve">Memphis, TN, 38125 </w:t>
      </w:r>
      <w:r w:rsidR="00B6221E">
        <w:t xml:space="preserve"> </w:t>
      </w:r>
    </w:p>
    <w:p w:rsidR="0048400B" w:rsidRDefault="0048400B" w:rsidP="0048400B"/>
    <w:p w:rsidR="00A322EE" w:rsidRDefault="00A322EE"/>
    <w:p w:rsidR="00A322EE" w:rsidRPr="001C5115" w:rsidRDefault="00A322EE"/>
    <w:sectPr w:rsidR="00A322EE" w:rsidRPr="001C5115" w:rsidSect="00FE66F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2564"/>
    <w:multiLevelType w:val="multilevel"/>
    <w:tmpl w:val="335243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5C424AC"/>
    <w:multiLevelType w:val="hybridMultilevel"/>
    <w:tmpl w:val="390AACA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F4774C6"/>
    <w:multiLevelType w:val="hybridMultilevel"/>
    <w:tmpl w:val="B022B51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CBE7336"/>
    <w:multiLevelType w:val="multilevel"/>
    <w:tmpl w:val="68E8ED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D4768A5"/>
    <w:multiLevelType w:val="multilevel"/>
    <w:tmpl w:val="9F9A87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B114BC1"/>
    <w:multiLevelType w:val="hybridMultilevel"/>
    <w:tmpl w:val="D06EBC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1E1760"/>
    <w:multiLevelType w:val="hybridMultilevel"/>
    <w:tmpl w:val="EAF456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2"/>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C5115"/>
    <w:rsid w:val="00132719"/>
    <w:rsid w:val="00135577"/>
    <w:rsid w:val="001C5115"/>
    <w:rsid w:val="00244154"/>
    <w:rsid w:val="002F0E2E"/>
    <w:rsid w:val="002F320B"/>
    <w:rsid w:val="00355657"/>
    <w:rsid w:val="003F5FD9"/>
    <w:rsid w:val="00400F4F"/>
    <w:rsid w:val="00451EA3"/>
    <w:rsid w:val="0048400B"/>
    <w:rsid w:val="00557122"/>
    <w:rsid w:val="00564504"/>
    <w:rsid w:val="005721AC"/>
    <w:rsid w:val="00612232"/>
    <w:rsid w:val="0063740F"/>
    <w:rsid w:val="00662352"/>
    <w:rsid w:val="00676AAB"/>
    <w:rsid w:val="00677109"/>
    <w:rsid w:val="006826DB"/>
    <w:rsid w:val="006D21DD"/>
    <w:rsid w:val="006E43E7"/>
    <w:rsid w:val="006E73C3"/>
    <w:rsid w:val="0078252F"/>
    <w:rsid w:val="007B3EFC"/>
    <w:rsid w:val="00846BCD"/>
    <w:rsid w:val="00860D85"/>
    <w:rsid w:val="0096579C"/>
    <w:rsid w:val="009D785B"/>
    <w:rsid w:val="00A17226"/>
    <w:rsid w:val="00A322EE"/>
    <w:rsid w:val="00A42D55"/>
    <w:rsid w:val="00B12AAC"/>
    <w:rsid w:val="00B22601"/>
    <w:rsid w:val="00B33B2E"/>
    <w:rsid w:val="00B6221E"/>
    <w:rsid w:val="00BC061D"/>
    <w:rsid w:val="00BE512B"/>
    <w:rsid w:val="00C01DE6"/>
    <w:rsid w:val="00C557D9"/>
    <w:rsid w:val="00C62F0F"/>
    <w:rsid w:val="00EA15D4"/>
    <w:rsid w:val="00EF7ECD"/>
    <w:rsid w:val="00F84414"/>
    <w:rsid w:val="00FA7673"/>
    <w:rsid w:val="00FE66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3C3"/>
    <w:pPr>
      <w:spacing w:after="0" w:line="240" w:lineRule="auto"/>
    </w:pPr>
  </w:style>
  <w:style w:type="paragraph" w:styleId="Heading1">
    <w:name w:val="heading 1"/>
    <w:basedOn w:val="Normal"/>
    <w:next w:val="Normal"/>
    <w:link w:val="Heading1Char"/>
    <w:uiPriority w:val="9"/>
    <w:qFormat/>
    <w:rsid w:val="006E73C3"/>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E73C3"/>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E73C3"/>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E73C3"/>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E73C3"/>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E73C3"/>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E73C3"/>
    <w:pPr>
      <w:spacing w:before="240" w:after="60"/>
      <w:outlineLvl w:val="6"/>
    </w:pPr>
  </w:style>
  <w:style w:type="paragraph" w:styleId="Heading8">
    <w:name w:val="heading 8"/>
    <w:basedOn w:val="Normal"/>
    <w:next w:val="Normal"/>
    <w:link w:val="Heading8Char"/>
    <w:uiPriority w:val="9"/>
    <w:semiHidden/>
    <w:unhideWhenUsed/>
    <w:qFormat/>
    <w:rsid w:val="006E73C3"/>
    <w:pPr>
      <w:spacing w:before="240" w:after="60"/>
      <w:outlineLvl w:val="7"/>
    </w:pPr>
    <w:rPr>
      <w:i/>
      <w:iCs/>
    </w:rPr>
  </w:style>
  <w:style w:type="paragraph" w:styleId="Heading9">
    <w:name w:val="heading 9"/>
    <w:basedOn w:val="Normal"/>
    <w:next w:val="Normal"/>
    <w:link w:val="Heading9Char"/>
    <w:uiPriority w:val="9"/>
    <w:semiHidden/>
    <w:unhideWhenUsed/>
    <w:qFormat/>
    <w:rsid w:val="006E73C3"/>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73C3"/>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E73C3"/>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E73C3"/>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E73C3"/>
    <w:rPr>
      <w:b/>
      <w:bCs/>
      <w:sz w:val="28"/>
      <w:szCs w:val="28"/>
    </w:rPr>
  </w:style>
  <w:style w:type="character" w:customStyle="1" w:styleId="Heading5Char">
    <w:name w:val="Heading 5 Char"/>
    <w:basedOn w:val="DefaultParagraphFont"/>
    <w:link w:val="Heading5"/>
    <w:uiPriority w:val="9"/>
    <w:semiHidden/>
    <w:rsid w:val="006E73C3"/>
    <w:rPr>
      <w:b/>
      <w:bCs/>
      <w:i/>
      <w:iCs/>
      <w:sz w:val="26"/>
      <w:szCs w:val="26"/>
    </w:rPr>
  </w:style>
  <w:style w:type="character" w:customStyle="1" w:styleId="Heading6Char">
    <w:name w:val="Heading 6 Char"/>
    <w:basedOn w:val="DefaultParagraphFont"/>
    <w:link w:val="Heading6"/>
    <w:uiPriority w:val="9"/>
    <w:semiHidden/>
    <w:rsid w:val="006E73C3"/>
    <w:rPr>
      <w:b/>
      <w:bCs/>
    </w:rPr>
  </w:style>
  <w:style w:type="character" w:customStyle="1" w:styleId="Heading7Char">
    <w:name w:val="Heading 7 Char"/>
    <w:basedOn w:val="DefaultParagraphFont"/>
    <w:link w:val="Heading7"/>
    <w:uiPriority w:val="9"/>
    <w:semiHidden/>
    <w:rsid w:val="006E73C3"/>
    <w:rPr>
      <w:sz w:val="24"/>
      <w:szCs w:val="24"/>
    </w:rPr>
  </w:style>
  <w:style w:type="character" w:customStyle="1" w:styleId="Heading8Char">
    <w:name w:val="Heading 8 Char"/>
    <w:basedOn w:val="DefaultParagraphFont"/>
    <w:link w:val="Heading8"/>
    <w:uiPriority w:val="9"/>
    <w:semiHidden/>
    <w:rsid w:val="006E73C3"/>
    <w:rPr>
      <w:i/>
      <w:iCs/>
      <w:sz w:val="24"/>
      <w:szCs w:val="24"/>
    </w:rPr>
  </w:style>
  <w:style w:type="character" w:customStyle="1" w:styleId="Heading9Char">
    <w:name w:val="Heading 9 Char"/>
    <w:basedOn w:val="DefaultParagraphFont"/>
    <w:link w:val="Heading9"/>
    <w:uiPriority w:val="9"/>
    <w:semiHidden/>
    <w:rsid w:val="006E73C3"/>
    <w:rPr>
      <w:rFonts w:asciiTheme="majorHAnsi" w:eastAsiaTheme="majorEastAsia" w:hAnsiTheme="majorHAnsi"/>
    </w:rPr>
  </w:style>
  <w:style w:type="paragraph" w:styleId="Title">
    <w:name w:val="Title"/>
    <w:basedOn w:val="Normal"/>
    <w:next w:val="Normal"/>
    <w:link w:val="TitleChar"/>
    <w:uiPriority w:val="10"/>
    <w:qFormat/>
    <w:rsid w:val="006E73C3"/>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E73C3"/>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E73C3"/>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E73C3"/>
    <w:rPr>
      <w:rFonts w:asciiTheme="majorHAnsi" w:eastAsiaTheme="majorEastAsia" w:hAnsiTheme="majorHAnsi"/>
      <w:sz w:val="24"/>
      <w:szCs w:val="24"/>
    </w:rPr>
  </w:style>
  <w:style w:type="character" w:styleId="Strong">
    <w:name w:val="Strong"/>
    <w:basedOn w:val="DefaultParagraphFont"/>
    <w:uiPriority w:val="22"/>
    <w:qFormat/>
    <w:rsid w:val="006E73C3"/>
    <w:rPr>
      <w:b/>
      <w:bCs/>
    </w:rPr>
  </w:style>
  <w:style w:type="character" w:styleId="Emphasis">
    <w:name w:val="Emphasis"/>
    <w:basedOn w:val="DefaultParagraphFont"/>
    <w:uiPriority w:val="20"/>
    <w:qFormat/>
    <w:rsid w:val="006E73C3"/>
    <w:rPr>
      <w:rFonts w:asciiTheme="minorHAnsi" w:hAnsiTheme="minorHAnsi"/>
      <w:b/>
      <w:i/>
      <w:iCs/>
    </w:rPr>
  </w:style>
  <w:style w:type="paragraph" w:styleId="NoSpacing">
    <w:name w:val="No Spacing"/>
    <w:basedOn w:val="Normal"/>
    <w:uiPriority w:val="1"/>
    <w:qFormat/>
    <w:rsid w:val="006E73C3"/>
    <w:rPr>
      <w:szCs w:val="32"/>
    </w:rPr>
  </w:style>
  <w:style w:type="paragraph" w:styleId="ListParagraph">
    <w:name w:val="List Paragraph"/>
    <w:basedOn w:val="Normal"/>
    <w:uiPriority w:val="34"/>
    <w:qFormat/>
    <w:rsid w:val="006E73C3"/>
    <w:pPr>
      <w:ind w:left="720"/>
      <w:contextualSpacing/>
    </w:pPr>
  </w:style>
  <w:style w:type="paragraph" w:styleId="Quote">
    <w:name w:val="Quote"/>
    <w:basedOn w:val="Normal"/>
    <w:next w:val="Normal"/>
    <w:link w:val="QuoteChar"/>
    <w:uiPriority w:val="29"/>
    <w:qFormat/>
    <w:rsid w:val="006E73C3"/>
    <w:rPr>
      <w:i/>
    </w:rPr>
  </w:style>
  <w:style w:type="character" w:customStyle="1" w:styleId="QuoteChar">
    <w:name w:val="Quote Char"/>
    <w:basedOn w:val="DefaultParagraphFont"/>
    <w:link w:val="Quote"/>
    <w:uiPriority w:val="29"/>
    <w:rsid w:val="006E73C3"/>
    <w:rPr>
      <w:i/>
      <w:sz w:val="24"/>
      <w:szCs w:val="24"/>
    </w:rPr>
  </w:style>
  <w:style w:type="paragraph" w:styleId="IntenseQuote">
    <w:name w:val="Intense Quote"/>
    <w:basedOn w:val="Normal"/>
    <w:next w:val="Normal"/>
    <w:link w:val="IntenseQuoteChar"/>
    <w:uiPriority w:val="30"/>
    <w:qFormat/>
    <w:rsid w:val="006E73C3"/>
    <w:pPr>
      <w:ind w:left="720" w:right="720"/>
    </w:pPr>
    <w:rPr>
      <w:b/>
      <w:i/>
      <w:szCs w:val="22"/>
    </w:rPr>
  </w:style>
  <w:style w:type="character" w:customStyle="1" w:styleId="IntenseQuoteChar">
    <w:name w:val="Intense Quote Char"/>
    <w:basedOn w:val="DefaultParagraphFont"/>
    <w:link w:val="IntenseQuote"/>
    <w:uiPriority w:val="30"/>
    <w:rsid w:val="006E73C3"/>
    <w:rPr>
      <w:b/>
      <w:i/>
      <w:sz w:val="24"/>
    </w:rPr>
  </w:style>
  <w:style w:type="character" w:styleId="SubtleEmphasis">
    <w:name w:val="Subtle Emphasis"/>
    <w:uiPriority w:val="19"/>
    <w:qFormat/>
    <w:rsid w:val="006E73C3"/>
    <w:rPr>
      <w:i/>
      <w:color w:val="5A5A5A" w:themeColor="text1" w:themeTint="A5"/>
    </w:rPr>
  </w:style>
  <w:style w:type="character" w:styleId="IntenseEmphasis">
    <w:name w:val="Intense Emphasis"/>
    <w:basedOn w:val="DefaultParagraphFont"/>
    <w:uiPriority w:val="21"/>
    <w:qFormat/>
    <w:rsid w:val="006E73C3"/>
    <w:rPr>
      <w:b/>
      <w:i/>
      <w:sz w:val="24"/>
      <w:szCs w:val="24"/>
      <w:u w:val="single"/>
    </w:rPr>
  </w:style>
  <w:style w:type="character" w:styleId="SubtleReference">
    <w:name w:val="Subtle Reference"/>
    <w:basedOn w:val="DefaultParagraphFont"/>
    <w:uiPriority w:val="31"/>
    <w:qFormat/>
    <w:rsid w:val="006E73C3"/>
    <w:rPr>
      <w:sz w:val="24"/>
      <w:szCs w:val="24"/>
      <w:u w:val="single"/>
    </w:rPr>
  </w:style>
  <w:style w:type="character" w:styleId="IntenseReference">
    <w:name w:val="Intense Reference"/>
    <w:basedOn w:val="DefaultParagraphFont"/>
    <w:uiPriority w:val="32"/>
    <w:qFormat/>
    <w:rsid w:val="006E73C3"/>
    <w:rPr>
      <w:b/>
      <w:sz w:val="24"/>
      <w:u w:val="single"/>
    </w:rPr>
  </w:style>
  <w:style w:type="character" w:styleId="BookTitle">
    <w:name w:val="Book Title"/>
    <w:basedOn w:val="DefaultParagraphFont"/>
    <w:uiPriority w:val="33"/>
    <w:qFormat/>
    <w:rsid w:val="006E73C3"/>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E73C3"/>
    <w:pPr>
      <w:outlineLvl w:val="9"/>
    </w:pPr>
  </w:style>
  <w:style w:type="character" w:styleId="Hyperlink">
    <w:name w:val="Hyperlink"/>
    <w:basedOn w:val="DefaultParagraphFont"/>
    <w:uiPriority w:val="99"/>
    <w:unhideWhenUsed/>
    <w:rsid w:val="001C511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2545917">
      <w:bodyDiv w:val="1"/>
      <w:marLeft w:val="0"/>
      <w:marRight w:val="0"/>
      <w:marTop w:val="0"/>
      <w:marBottom w:val="0"/>
      <w:divBdr>
        <w:top w:val="none" w:sz="0" w:space="0" w:color="auto"/>
        <w:left w:val="none" w:sz="0" w:space="0" w:color="auto"/>
        <w:bottom w:val="none" w:sz="0" w:space="0" w:color="auto"/>
        <w:right w:val="none" w:sz="0" w:space="0" w:color="auto"/>
      </w:divBdr>
    </w:div>
    <w:div w:id="222789556">
      <w:bodyDiv w:val="1"/>
      <w:marLeft w:val="0"/>
      <w:marRight w:val="0"/>
      <w:marTop w:val="0"/>
      <w:marBottom w:val="0"/>
      <w:divBdr>
        <w:top w:val="none" w:sz="0" w:space="0" w:color="auto"/>
        <w:left w:val="none" w:sz="0" w:space="0" w:color="auto"/>
        <w:bottom w:val="none" w:sz="0" w:space="0" w:color="auto"/>
        <w:right w:val="none" w:sz="0" w:space="0" w:color="auto"/>
      </w:divBdr>
    </w:div>
    <w:div w:id="1128281261">
      <w:bodyDiv w:val="1"/>
      <w:marLeft w:val="0"/>
      <w:marRight w:val="0"/>
      <w:marTop w:val="0"/>
      <w:marBottom w:val="0"/>
      <w:divBdr>
        <w:top w:val="none" w:sz="0" w:space="0" w:color="auto"/>
        <w:left w:val="none" w:sz="0" w:space="0" w:color="auto"/>
        <w:bottom w:val="none" w:sz="0" w:space="0" w:color="auto"/>
        <w:right w:val="none" w:sz="0" w:space="0" w:color="auto"/>
      </w:divBdr>
    </w:div>
    <w:div w:id="1199390339">
      <w:bodyDiv w:val="1"/>
      <w:marLeft w:val="0"/>
      <w:marRight w:val="0"/>
      <w:marTop w:val="0"/>
      <w:marBottom w:val="0"/>
      <w:divBdr>
        <w:top w:val="none" w:sz="0" w:space="0" w:color="auto"/>
        <w:left w:val="none" w:sz="0" w:space="0" w:color="auto"/>
        <w:bottom w:val="none" w:sz="0" w:space="0" w:color="auto"/>
        <w:right w:val="none" w:sz="0" w:space="0" w:color="auto"/>
      </w:divBdr>
    </w:div>
    <w:div w:id="1276867793">
      <w:bodyDiv w:val="1"/>
      <w:marLeft w:val="0"/>
      <w:marRight w:val="0"/>
      <w:marTop w:val="0"/>
      <w:marBottom w:val="0"/>
      <w:divBdr>
        <w:top w:val="none" w:sz="0" w:space="0" w:color="auto"/>
        <w:left w:val="none" w:sz="0" w:space="0" w:color="auto"/>
        <w:bottom w:val="none" w:sz="0" w:space="0" w:color="auto"/>
        <w:right w:val="none" w:sz="0" w:space="0" w:color="auto"/>
      </w:divBdr>
    </w:div>
    <w:div w:id="1721435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egulations.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2134</Words>
  <Characters>12164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FedEx Services</Company>
  <LinksUpToDate>false</LinksUpToDate>
  <CharactersWithSpaces>14270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156088</dc:creator>
  <cp:keywords/>
  <dc:description/>
  <cp:lastModifiedBy>156088</cp:lastModifiedBy>
  <cp:revision>2</cp:revision>
  <dcterms:created xsi:type="dcterms:W3CDTF">2011-04-29T15:10:00Z</dcterms:created>
  <dcterms:modified xsi:type="dcterms:W3CDTF">2011-04-29T15:10:00Z</dcterms:modified>
</cp:coreProperties>
</file>